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10281"/>
      </w:tblGrid>
      <w:tr w:rsidR="00A068BE" w:rsidRPr="00A068BE" w14:paraId="12E34CC3" w14:textId="77777777" w:rsidTr="00351633">
        <w:trPr>
          <w:trHeight w:val="2087"/>
        </w:trPr>
        <w:tc>
          <w:tcPr>
            <w:tcW w:w="1746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A068BE" w:rsidRPr="00A068BE" w14:paraId="4144F8BE" w14:textId="77777777" w:rsidTr="00351633">
              <w:trPr>
                <w:trHeight w:val="2087"/>
              </w:trPr>
              <w:tc>
                <w:tcPr>
                  <w:tcW w:w="1746" w:type="dxa"/>
                </w:tcPr>
                <w:p w14:paraId="7D7F70D5" w14:textId="77777777" w:rsidR="00A068BE" w:rsidRPr="00A068BE" w:rsidRDefault="00A068BE" w:rsidP="00A068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  <w:bookmarkStart w:id="0" w:name="_Hlk86062478"/>
                  <w:r w:rsidRPr="00A068B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RS" w:eastAsia="hr-HR"/>
                    </w:rPr>
                    <w:drawing>
                      <wp:inline distT="0" distB="0" distL="0" distR="0" wp14:anchorId="11C69D00" wp14:editId="0B81CE9D">
                        <wp:extent cx="967740" cy="1135380"/>
                        <wp:effectExtent l="0" t="0" r="381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9" w:type="dxa"/>
                </w:tcPr>
                <w:p w14:paraId="1D18A879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5603DEA1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6D80BAED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7E8FFA46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74814A16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ПИБ: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1F04152C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7AACF11A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ШИФРА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57AA7485" w14:textId="77777777" w:rsidR="00A068BE" w:rsidRPr="00A068BE" w:rsidRDefault="00A068BE" w:rsidP="00A068BE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0E07767B" w14:textId="77777777" w:rsidR="00A068BE" w:rsidRPr="00A068BE" w:rsidRDefault="00A068BE" w:rsidP="00A06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</w:pPr>
          </w:p>
        </w:tc>
        <w:tc>
          <w:tcPr>
            <w:tcW w:w="8319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A068BE" w:rsidRPr="00A068BE" w14:paraId="526CCA6F" w14:textId="77777777" w:rsidTr="00351633">
              <w:trPr>
                <w:trHeight w:val="2087"/>
              </w:trPr>
              <w:tc>
                <w:tcPr>
                  <w:tcW w:w="1746" w:type="dxa"/>
                </w:tcPr>
                <w:p w14:paraId="4F58FDE9" w14:textId="77777777" w:rsidR="00A068BE" w:rsidRPr="00A068BE" w:rsidRDefault="00A068BE" w:rsidP="00A068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8319" w:type="dxa"/>
                </w:tcPr>
                <w:p w14:paraId="2411BA73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572A8958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15E3DE52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61D4B219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37C15FC5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ПИБ: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1083D79E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2CF39414" w14:textId="77777777" w:rsidR="00A068BE" w:rsidRPr="00A068BE" w:rsidRDefault="00A068BE" w:rsidP="00A068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ШИФРА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A068BE">
                    <w:rPr>
                      <w:rFonts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17848847" w14:textId="77777777" w:rsidR="00A068BE" w:rsidRPr="00A068BE" w:rsidRDefault="00A068BE" w:rsidP="00A068BE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329ED878" w14:textId="77777777" w:rsidR="00A068BE" w:rsidRPr="00A068BE" w:rsidRDefault="00A068BE" w:rsidP="00A068BE">
            <w:pPr>
              <w:rPr>
                <w:b/>
                <w:bCs/>
                <w:lang w:val="sr-Cyrl-RS"/>
              </w:rPr>
            </w:pPr>
          </w:p>
        </w:tc>
      </w:tr>
    </w:tbl>
    <w:p w14:paraId="35048E29" w14:textId="77777777" w:rsidR="00A068BE" w:rsidRPr="00A068BE" w:rsidRDefault="00A068BE" w:rsidP="00A068B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0ACE9304" w14:textId="31A1358A" w:rsidR="00A068BE" w:rsidRPr="00A068BE" w:rsidRDefault="00A068BE" w:rsidP="00A068BE">
      <w:pPr>
        <w:spacing w:after="0" w:line="240" w:lineRule="auto"/>
        <w:rPr>
          <w:rFonts w:cstheme="minorHAnsi"/>
          <w:b/>
          <w:lang w:val="sr-Cyrl-RS"/>
        </w:rPr>
      </w:pPr>
      <w:r w:rsidRPr="00A068BE">
        <w:rPr>
          <w:rFonts w:cstheme="minorHAnsi"/>
          <w:b/>
          <w:lang w:val="sr-Cyrl-RS"/>
        </w:rPr>
        <w:t xml:space="preserve">Деловодни број: </w:t>
      </w:r>
      <w:r>
        <w:rPr>
          <w:rFonts w:cstheme="minorHAnsi"/>
          <w:b/>
          <w:lang w:val="sr-Latn-RS"/>
        </w:rPr>
        <w:t>217</w:t>
      </w:r>
      <w:r w:rsidRPr="00A068BE">
        <w:rPr>
          <w:rFonts w:cstheme="minorHAnsi"/>
          <w:b/>
          <w:lang w:val="sr-Cyrl-RS"/>
        </w:rPr>
        <w:t>/23</w:t>
      </w:r>
    </w:p>
    <w:p w14:paraId="31EAA4F2" w14:textId="511E3E3D" w:rsidR="00A068BE" w:rsidRPr="00A068BE" w:rsidRDefault="00A068BE" w:rsidP="00A068BE">
      <w:pPr>
        <w:spacing w:after="0" w:line="240" w:lineRule="auto"/>
        <w:rPr>
          <w:rFonts w:cstheme="minorHAnsi"/>
          <w:b/>
          <w:lang w:val="sr-Cyrl-RS"/>
        </w:rPr>
      </w:pPr>
      <w:r w:rsidRPr="00A068BE">
        <w:rPr>
          <w:rFonts w:cstheme="minorHAnsi"/>
          <w:b/>
          <w:lang w:val="sr-Latn-RS"/>
        </w:rPr>
        <w:t>Д</w:t>
      </w:r>
      <w:r w:rsidRPr="00A068BE">
        <w:rPr>
          <w:rFonts w:cstheme="minorHAnsi"/>
          <w:b/>
          <w:lang w:val="sr-Cyrl-RS"/>
        </w:rPr>
        <w:t>атум:</w:t>
      </w:r>
      <w:r w:rsidRPr="00A068BE">
        <w:rPr>
          <w:rFonts w:cstheme="minorHAnsi"/>
          <w:b/>
          <w:lang w:val="sr-Latn-RS"/>
        </w:rPr>
        <w:t xml:space="preserve"> </w:t>
      </w:r>
      <w:r>
        <w:rPr>
          <w:rFonts w:cstheme="minorHAnsi"/>
          <w:b/>
          <w:lang w:val="sr-Latn-RS"/>
        </w:rPr>
        <w:t>_______________</w:t>
      </w:r>
      <w:r w:rsidRPr="00A068BE">
        <w:rPr>
          <w:rFonts w:cstheme="minorHAnsi"/>
          <w:b/>
          <w:lang w:val="sr-Cyrl-RS"/>
        </w:rPr>
        <w:t xml:space="preserve"> године</w:t>
      </w:r>
    </w:p>
    <w:bookmarkEnd w:id="0"/>
    <w:p w14:paraId="4C1A9C4D" w14:textId="77777777" w:rsidR="00BE6DDB" w:rsidRPr="00BE6DDB" w:rsidRDefault="00BE6DDB" w:rsidP="00B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B2398" w14:textId="6B92D6F1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7F45AFE" w14:textId="77777777" w:rsidR="00723967" w:rsidRPr="00BE6DDB" w:rsidRDefault="00BE6DDB" w:rsidP="00723967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основу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1</w:t>
      </w:r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70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="00723967" w:rsidRPr="00BE6DDB">
        <w:rPr>
          <w:rFonts w:ascii="Tahoma" w:eastAsia="Times New Roman" w:hAnsi="Tahoma" w:cs="Tahoma"/>
          <w:color w:val="000000"/>
          <w:sz w:val="23"/>
          <w:szCs w:val="23"/>
        </w:rPr>
        <w:t>Основне</w:t>
      </w:r>
      <w:proofErr w:type="spellEnd"/>
      <w:r w:rsidR="00723967"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="00723967"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="00723967"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723967" w:rsidRPr="00723967"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,,Моша</w:t>
      </w:r>
      <w:proofErr w:type="gramEnd"/>
      <w:r w:rsidR="00723967" w:rsidRPr="00723967"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 xml:space="preserve"> Пијаде</w:t>
      </w:r>
      <w:r w:rsidR="00723967" w:rsidRPr="00BE6DDB">
        <w:rPr>
          <w:rFonts w:ascii="Tahoma" w:eastAsia="Times New Roman" w:hAnsi="Tahoma" w:cs="Tahoma"/>
          <w:color w:val="000000"/>
          <w:sz w:val="23"/>
          <w:szCs w:val="23"/>
        </w:rPr>
        <w:t>'' у</w:t>
      </w:r>
      <w:r w:rsidR="00723967" w:rsidRPr="00723967"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 xml:space="preserve"> Бачком Новом Селу</w:t>
      </w:r>
    </w:p>
    <w:p w14:paraId="5EC14E17" w14:textId="52B6EDF9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(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дел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r w:rsidR="00A068BE">
        <w:rPr>
          <w:rFonts w:ascii="Tahoma" w:eastAsia="Times New Roman" w:hAnsi="Tahoma" w:cs="Tahoma"/>
          <w:color w:val="000000"/>
          <w:sz w:val="23"/>
          <w:szCs w:val="23"/>
        </w:rPr>
        <w:t>217/</w:t>
      </w:r>
      <w:proofErr w:type="gramStart"/>
      <w:r w:rsidR="00A068BE">
        <w:rPr>
          <w:rFonts w:ascii="Tahoma" w:eastAsia="Times New Roman" w:hAnsi="Tahoma" w:cs="Tahoma"/>
          <w:color w:val="000000"/>
          <w:sz w:val="23"/>
          <w:szCs w:val="23"/>
        </w:rPr>
        <w:t>23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)</w:t>
      </w:r>
      <w:proofErr w:type="gram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вези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130. и 131.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основама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система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("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Сл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гласник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 xml:space="preserve"> РС", 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бр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 xml:space="preserve">. 88/2017, 27/2018 - 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др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закон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 xml:space="preserve">, 10/2019, 27/2018 - 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др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закон</w:t>
      </w:r>
      <w:proofErr w:type="spellEnd"/>
      <w:r w:rsidR="00A068BE" w:rsidRPr="00A068BE">
        <w:rPr>
          <w:rFonts w:ascii="Tahoma" w:eastAsia="Times New Roman" w:hAnsi="Tahoma" w:cs="Tahoma"/>
          <w:color w:val="000000"/>
          <w:sz w:val="23"/>
          <w:szCs w:val="23"/>
        </w:rPr>
        <w:t>, 6/2020, 129/2021 и 92/2023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),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Основне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,,Моша</w:t>
      </w:r>
      <w:proofErr w:type="gramEnd"/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 xml:space="preserve"> Пијаде“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Бачком Новом Селу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 xml:space="preserve">___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редовној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одржаној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____________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једногласно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донело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</w:p>
    <w:p w14:paraId="38DDBA5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D41C032" w14:textId="77777777" w:rsidR="00BE6DDB" w:rsidRPr="00BE6DDB" w:rsidRDefault="00BE6DDB" w:rsidP="00BE6DDB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ПОСЛОВНИК</w:t>
      </w:r>
    </w:p>
    <w:p w14:paraId="4E7700ED" w14:textId="77777777" w:rsidR="00BE6DDB" w:rsidRPr="00BE6DDB" w:rsidRDefault="00BE6DDB" w:rsidP="00BE6DDB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о </w:t>
      </w: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раду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већа</w:t>
      </w:r>
      <w:proofErr w:type="spellEnd"/>
    </w:p>
    <w:p w14:paraId="466B57DE" w14:textId="3D353708" w:rsidR="00BE6DDB" w:rsidRPr="00BE6DDB" w:rsidRDefault="00BE6DDB" w:rsidP="00BE6DDB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Основне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val="sr-Cyrl-RS"/>
        </w:rPr>
        <w:t>,,Моша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val="sr-Cyrl-RS"/>
        </w:rPr>
        <w:t xml:space="preserve"> Пијаде</w:t>
      </w:r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'' у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val="sr-Cyrl-RS"/>
        </w:rPr>
        <w:t xml:space="preserve"> Бачком Новом Селу</w:t>
      </w:r>
    </w:p>
    <w:p w14:paraId="1F16BC5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643FD2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95430DD" w14:textId="77777777" w:rsidR="00BE6DDB" w:rsidRPr="00BE6DDB" w:rsidRDefault="00BE6DDB" w:rsidP="00BE6DDB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I - ОПШТЕ ОДРЕДБЕ</w:t>
      </w:r>
    </w:p>
    <w:p w14:paraId="6DE36AB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88300C5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1.</w:t>
      </w:r>
    </w:p>
    <w:p w14:paraId="64C1683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AC91B31" w14:textId="6A8C724D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Овим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пословником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уређује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надлежност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одговорност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начин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="004B0084" w:rsidRPr="00BE6DDB">
        <w:rPr>
          <w:rFonts w:ascii="Tahoma" w:eastAsia="Times New Roman" w:hAnsi="Tahoma" w:cs="Tahoma"/>
          <w:color w:val="000000"/>
          <w:sz w:val="23"/>
          <w:szCs w:val="23"/>
        </w:rPr>
        <w:t>Основне</w:t>
      </w:r>
      <w:proofErr w:type="spellEnd"/>
      <w:r w:rsidR="004B0084"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="004B0084"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="004B0084"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4B0084" w:rsidRPr="00723967"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,,Моша</w:t>
      </w:r>
      <w:proofErr w:type="gramEnd"/>
      <w:r w:rsidR="004B0084" w:rsidRPr="00723967"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 xml:space="preserve"> Пијаде</w:t>
      </w:r>
      <w:r w:rsidR="004B0084" w:rsidRPr="00BE6DDB">
        <w:rPr>
          <w:rFonts w:ascii="Tahoma" w:eastAsia="Times New Roman" w:hAnsi="Tahoma" w:cs="Tahoma"/>
          <w:color w:val="000000"/>
          <w:sz w:val="23"/>
          <w:szCs w:val="23"/>
        </w:rPr>
        <w:t>'' у</w:t>
      </w:r>
      <w:r w:rsidR="004B0084" w:rsidRPr="00723967"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 xml:space="preserve"> Бачком Новом Селу</w:t>
      </w:r>
      <w:r w:rsidR="004B0084"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(у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даљем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текст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: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),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нарочито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: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иницијатива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сазивање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сазивање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надлежност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вођење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0250CA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86250A1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2.</w:t>
      </w:r>
    </w:p>
    <w:p w14:paraId="1EBC300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48AE92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орган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501EBBD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Надлежности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основама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система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(у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даљем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тексту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: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)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618A53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A87B3E2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3.</w:t>
      </w:r>
    </w:p>
    <w:p w14:paraId="030CAAB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7FDD82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чине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сарадници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остварује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припремни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предшколски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програм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059B6A0" w14:textId="77777777" w:rsidR="00BE6DDB" w:rsidRPr="00BE6DDB" w:rsidRDefault="00BE6DDB" w:rsidP="00BE6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BFBE9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2FE7B1F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4.</w:t>
      </w:r>
    </w:p>
    <w:p w14:paraId="67C6303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9338D8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руководи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без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9C9150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одсуству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237EAF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ситуацији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63C9A4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ситуацији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DF8871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2646024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5.</w:t>
      </w:r>
    </w:p>
    <w:p w14:paraId="6FC9218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2188A8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5286CCA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неодређено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одређено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865452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Педагошки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асистент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без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01AF55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представници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парламента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без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о: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правилима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понашања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безбедности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годишњем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развојном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програму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начину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уређивања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простора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уџбеника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слободним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активностима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учешћу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спортским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такмичењима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организацији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манифестација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значаја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њихово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;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сарадње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васпитача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сарадника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атмосфере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;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обавештавања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посебног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значаја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њихово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школовање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активностима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парламента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;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активног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учешћа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процесу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планирања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развоја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самовредновању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;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предлагања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актива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развојно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планирање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превенцију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вршњачког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насиља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5439E7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позивати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представници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родитеља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 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складу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131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1.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основама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система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(у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даљем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тексту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: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)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интерес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E2419F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решава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претходно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изјаснио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Савет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родитеља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обавезно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родитеља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A05314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поступку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запослени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тајним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440907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поступку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предлагања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запослених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позивају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запослени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BF301F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4A04251" w14:textId="77777777" w:rsidR="00BE6DDB" w:rsidRPr="00BE6DDB" w:rsidRDefault="00BE6DDB" w:rsidP="00BE6DDB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II - ПОСЕБНЕ ОДРЕДБЕ</w:t>
      </w:r>
    </w:p>
    <w:p w14:paraId="731CFD8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A383283" w14:textId="77777777" w:rsidR="00BE6DDB" w:rsidRPr="00BE6DDB" w:rsidRDefault="00BE6DDB" w:rsidP="00BE6DDB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1. 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Наставничког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већа</w:t>
      </w:r>
      <w:proofErr w:type="spellEnd"/>
    </w:p>
    <w:p w14:paraId="18F6A43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90740B4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6.</w:t>
      </w:r>
    </w:p>
    <w:p w14:paraId="364A07F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121638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посебно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08F3299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38FB55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извештај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најмање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годишње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 и</w:t>
      </w:r>
      <w:proofErr w:type="gram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6B2C8D8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програма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(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програма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),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развојног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годишњег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усваја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извештаје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њиховом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остваривању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вредновању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самовредновању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273DE2B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финансијског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припрему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буџета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Републике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Србије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0C3021C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финансијског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складу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2D8CED8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усвајању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извештаја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годишњег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обрачуна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извештаја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извођењу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екскурзија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природи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1281B8F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проширењу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делатности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15A118B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поштовања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општих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принципа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остваривања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циљева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стандарда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постигнућа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побољшање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услова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остваривање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образовно-васпитног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603F226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усавршавања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запослених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извештаја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остваривању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117295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уџбеника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складу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уређују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уџбеници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209A1F1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-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вреднује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резултате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васпитача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сарадника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3A679A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-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резултате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одраслих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349621D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-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предузима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јединствен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усклађен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децом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ученицима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одраслима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процесу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</w:t>
      </w:r>
    </w:p>
    <w:p w14:paraId="7E9DCA1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-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решава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образовно-васпитног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65FA88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> </w:t>
      </w:r>
    </w:p>
    <w:p w14:paraId="1ED135C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5B0830D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446680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C115F5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предлаже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запослених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41831FB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покреће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иницијативу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разрешење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 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именованог</w:t>
      </w:r>
      <w:proofErr w:type="spellEnd"/>
      <w:proofErr w:type="gram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E646F3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верификује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мандате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родитеља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4E0C8D7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успех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тромесечјима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крају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полугодишта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крају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29BF64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похвале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награде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ученицима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4444F3A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врши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ђака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генерације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2443A43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упућује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полагање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разредних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поправних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годишњих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испита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2005A7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проширењу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листе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уписа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29BDB8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појачаног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чини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повреде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понашања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изрицања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васпитно-дисциплинске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циљем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дефинисања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пружања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подршке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вези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променом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понашања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6040ADE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васпитно-дисциплинске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ученицима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надлежности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2C5BEF5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иницијативу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родитеља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тимова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5DFA1C4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F1B7555" w14:textId="77777777" w:rsidR="00BE6DDB" w:rsidRPr="00BE6DDB" w:rsidRDefault="00BE6DDB" w:rsidP="00BE6DDB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2. 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Припремање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седница</w:t>
      </w:r>
      <w:proofErr w:type="spellEnd"/>
    </w:p>
    <w:p w14:paraId="3B7117C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CAA9F62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7.</w:t>
      </w:r>
    </w:p>
    <w:p w14:paraId="38B16E3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9DEC28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припрема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1DA4B0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састављању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припреме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материјала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помажу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сарадници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руководиоци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стручних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области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предмета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а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потреби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остали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секретар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дипломирани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економиста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финансијско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рачуноводствене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E7D210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16939C6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8.</w:t>
      </w:r>
    </w:p>
    <w:p w14:paraId="4CDA432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C4F5AC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састављању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посебно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рачуна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следећем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3B59764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21C603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унесу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првенствено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спадају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надлежност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остала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само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оправдане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потребе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налогу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родитеља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45A4A5B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првенствено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уврсте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моменту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најактуелнија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целини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876B8C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буде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сувише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обиман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предложене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тачке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обрадити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донеле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одговарајуће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</w:t>
      </w:r>
    </w:p>
    <w:p w14:paraId="5D9C36F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тачкама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известиоце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био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ефикаснији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CF6495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F67BE96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9.</w:t>
      </w:r>
    </w:p>
    <w:p w14:paraId="6A07344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16D024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Након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одређивања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просторије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почетка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секретаријат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израђује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обавештење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-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позив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тачке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припрема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материјал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материјал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опширан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DFC1A28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B844042" w14:textId="77777777" w:rsidR="00BE6DDB" w:rsidRPr="00BE6DDB" w:rsidRDefault="00BE6DDB" w:rsidP="00BE6DDB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3. 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Сазивање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седница</w:t>
      </w:r>
      <w:proofErr w:type="spellEnd"/>
    </w:p>
    <w:p w14:paraId="6BA1E1A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C5A3D3A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10.</w:t>
      </w:r>
    </w:p>
    <w:p w14:paraId="6CEB9C3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5D56C2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сазива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одсуству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7A41E8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E3386D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редовне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ванредне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59C7EA1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сазивању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обавезно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објављује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објављује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огласној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табли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56CA9A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4B667EF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11.</w:t>
      </w:r>
    </w:p>
    <w:p w14:paraId="34BDE8A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4925A2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Редовне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сазивају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најмање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Ванредне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заказати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најмање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24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часа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D99791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Хитне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заказују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телефоном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путем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електронске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поште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погодан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начин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обезбеђује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сигурно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достављање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позива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3C62E0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4E1C7B9" w14:textId="77777777" w:rsidR="00BE6DDB" w:rsidRPr="00BE6DDB" w:rsidRDefault="00BE6DDB" w:rsidP="00BE6DDB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седницама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Наставничког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већа</w:t>
      </w:r>
      <w:proofErr w:type="spellEnd"/>
    </w:p>
    <w:p w14:paraId="34B7C8C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99DE8C3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12.</w:t>
      </w:r>
    </w:p>
    <w:p w14:paraId="09F7475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E78F83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руководи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правилно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одвија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1D87DB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следећа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дужности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595B1CC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76B2B6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одвија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утврђеном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056DAC2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реч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осталим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учесницима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B70EB9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одобрава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оправданим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случајевима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напуштање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условом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ремети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160AE0E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потписује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донете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препоруке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доноси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3A6246E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врши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складу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с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одговарајућим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важећим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прописима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одредбама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општим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747992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0CA9F8B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13.</w:t>
      </w:r>
    </w:p>
    <w:p w14:paraId="38576A7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C9B4DD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обавезно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D04F97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Уколико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спречени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дужни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разлозима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спречености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благовремено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обавесте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2E2CFA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налажу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околности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путем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савремених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информационих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технологија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524409F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73EFE3C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14.</w:t>
      </w:r>
    </w:p>
    <w:p w14:paraId="66AC026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FE656D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Сваки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предложи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измене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допуне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преласка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29E028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2D46E55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15.</w:t>
      </w:r>
    </w:p>
    <w:p w14:paraId="1A9972A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BCFED8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жели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дискусији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претходно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затражи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одобрење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једном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говори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највише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2D7EF6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107B4A1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16.</w:t>
      </w:r>
    </w:p>
    <w:p w14:paraId="4FA9748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2E767F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Након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отварања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констатује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кворум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више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половине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сматра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довољан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пуноважно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28CF05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мањи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одлаже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заказује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нову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уколико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одмах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уколико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3ECD92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05372C7" w14:textId="77777777" w:rsidR="00BE6DDB" w:rsidRPr="00BE6DDB" w:rsidRDefault="00BE6DDB" w:rsidP="00B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70C51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17.</w:t>
      </w:r>
    </w:p>
    <w:p w14:paraId="085058F8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D71D7E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тачка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усвајање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с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претходне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3742FB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усваја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након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истог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стране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B56D91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уложити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примедбе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Уложене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примедбе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кратким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описом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ставља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примедбе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уносе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текуће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DD42DB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FEB7D68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18.</w:t>
      </w:r>
    </w:p>
    <w:p w14:paraId="6836DF2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C1B322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дужности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5A61013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677F058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активно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24C529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спречености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томе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благовремено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помоћника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накнадно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оправда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изостанак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50A011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подноси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доношење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закључака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препорука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BD7AD3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–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врши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дужности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проистичу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одредаба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општих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аката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C1CC7C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72840E9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19.</w:t>
      </w:r>
    </w:p>
    <w:p w14:paraId="7E4EDF8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2E2BA7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тачка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исцрпљена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закључка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F18B23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треба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садржи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носиоца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задатка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треба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реализује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1799DE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1AC84E9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20.</w:t>
      </w:r>
    </w:p>
    <w:p w14:paraId="7273A32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946039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правилу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јавно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E040F7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предлаже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запослених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поступку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тајно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CD24C1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Изузетно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случајевима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неком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буде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тајно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ABE75A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већином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предвиђена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квалификована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већина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7B4A3A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начин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изјашњавају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„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”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„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против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”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уздржавају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издвајају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7F7B7B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Јавно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врши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дизањем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руку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изузетном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жели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потпуно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сигуран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резултат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путем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прозивања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азбучном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презимена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принципу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„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”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„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против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”.</w:t>
      </w:r>
    </w:p>
    <w:p w14:paraId="454F536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„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” и „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против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”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понавља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буде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одлаже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заказује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 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најкраћем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могућем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року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F3F562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BDA12A8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21.</w:t>
      </w:r>
    </w:p>
    <w:p w14:paraId="480A78B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4C6F65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тајног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гласачким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листићима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одлажу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након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кутију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налази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испред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 </w:t>
      </w:r>
    </w:p>
    <w:p w14:paraId="6FE4BE2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спроводи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резултат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трочлана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комисија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бира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кандидатима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спроводи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резултате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Комисија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избор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именована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стране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Школског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одбора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56066AA" w14:textId="77777777" w:rsidR="00BE6DDB" w:rsidRPr="00BE6DDB" w:rsidRDefault="00BE6DDB" w:rsidP="00B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F691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77F6F52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22.</w:t>
      </w:r>
    </w:p>
    <w:p w14:paraId="4EDE801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8E3FFD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прекине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утврди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размотре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предвиђена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.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одмах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одређује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DDBAC8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F75CE4C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23.</w:t>
      </w:r>
    </w:p>
    <w:p w14:paraId="0577EFC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536B20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искључиво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право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E57D53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Због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повреде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следеће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: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писмена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одузимање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удаљавање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A9B545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писмена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одузимање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удаљавање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3FF00F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8D40300" w14:textId="77777777" w:rsidR="00BE6DDB" w:rsidRPr="00BE6DDB" w:rsidRDefault="00BE6DDB" w:rsidP="00B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414F5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24.</w:t>
      </w:r>
    </w:p>
    <w:p w14:paraId="6E24BB7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237BFF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понашањем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нарушава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FCCE99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Нарушавање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одредаба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буде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732ACEF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C5232F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учешће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дискусији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добијања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087B17B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дискусија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54967F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прекидање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дискутанта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излагању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добацивање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ометање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1C279B6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недолично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непристојно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понашање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вређање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68151F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A32A6F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Писмена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изречене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усмене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нарушава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43BD54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одузимања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нарушава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био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опоменут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670E6B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544F0A7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7513BD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вређа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клевета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027275D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поштује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изречену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одузимања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речи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C1E6F0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својим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понашањем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онемогућава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несметано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36961771" w14:textId="77777777" w:rsidR="00BE6DDB" w:rsidRPr="00BE6DDB" w:rsidRDefault="00BE6DDB" w:rsidP="00B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E27F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51EEC84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25.</w:t>
      </w:r>
    </w:p>
    <w:p w14:paraId="7E6464F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C82FA0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без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претходно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изречених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случају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физичког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напада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односно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сличног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поступка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угрожава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физички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морални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интегритет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7BDC5E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изрицању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мере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доноси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јавним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само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изречена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65E7BD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удаљен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дужан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одмах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напусти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31C2059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а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нису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,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због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нарушавања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само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једне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опомене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удаљити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B5CDF1F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4E898BB" w14:textId="77777777" w:rsidR="00BE6DDB" w:rsidRPr="00BE6DDB" w:rsidRDefault="00BE6DDB" w:rsidP="00BE6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380A22" w14:textId="77777777" w:rsidR="00BE6DDB" w:rsidRPr="00BE6DDB" w:rsidRDefault="00BE6DDB" w:rsidP="00BE6DDB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5. 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Вођење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записника</w:t>
      </w:r>
      <w:proofErr w:type="spellEnd"/>
    </w:p>
    <w:p w14:paraId="32E9B02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A171D3C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26.</w:t>
      </w:r>
    </w:p>
    <w:p w14:paraId="73C95D9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F17443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свакој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води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обавезно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садржи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0A9FCE6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FBE7E58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3A01B48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место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датум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одржавања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6E77B8F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записничара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01FEF93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одсутних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имена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оправдано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одсутних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)</w:t>
      </w:r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2DAAF8E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имена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присутних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нису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131BE54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констатацију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присуствује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потребан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пуноважно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одлучивање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3036BA98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усвојен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3EA113B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формулацију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гласало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447F0E2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закључке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донете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тачкама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дневног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 с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назначењем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против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предлога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броја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уздржаних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гласова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издвојена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мишљења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94FD05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време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завршена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прекинута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65F8FE2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–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потпис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председавајућег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записничара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C3A5EB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64FFF01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уносе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изјаве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поједини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чланови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изричито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траже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унесу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друге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околности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донесе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5F6742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AD2A4C8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27.</w:t>
      </w:r>
    </w:p>
    <w:p w14:paraId="1E08515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0264C4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Ако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састоји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више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листова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сваку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страну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парафира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записничар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председавајући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849246D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Измене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допуне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врше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само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Наставничког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већа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приликом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његовог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усвајања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9071AE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09FD753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28.</w:t>
      </w:r>
    </w:p>
    <w:p w14:paraId="7F1468F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D0B8F1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мора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саставити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потписати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објавити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најкасније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три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одржаној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седници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4F7D4A95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4A31F2E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29.</w:t>
      </w:r>
    </w:p>
    <w:p w14:paraId="50EFF483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0842666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Оригинал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записника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с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евентуалним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прилозима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чува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канцеларији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у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секретаријату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8C1E49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116BE813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 30.</w:t>
      </w:r>
    </w:p>
    <w:p w14:paraId="73B2EB9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20576D2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О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извршавању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донетих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одлука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стара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директор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6AC242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64F3485A" w14:textId="77777777" w:rsidR="00BE6DDB" w:rsidRPr="00BE6DDB" w:rsidRDefault="00BE6DDB" w:rsidP="00BE6DDB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III - ЗАВРШНЕ ОДРЕДБЕ</w:t>
      </w:r>
    </w:p>
    <w:p w14:paraId="642B854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74A4D3CD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</w:rPr>
        <w:t xml:space="preserve"> 31.</w:t>
      </w:r>
    </w:p>
    <w:p w14:paraId="725E4599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5A0EE9A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У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погледу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оних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питања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која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нису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регулисана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одредбама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овог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пословника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примењиваће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одредбе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Закона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Статута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29EE52B4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36E7852E" w14:textId="77777777" w:rsidR="00BE6DDB" w:rsidRPr="00BE6DDB" w:rsidRDefault="00BE6DDB" w:rsidP="00BE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</w:t>
      </w:r>
      <w:proofErr w:type="spellEnd"/>
      <w:r w:rsidRPr="00BE6DD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32.</w:t>
      </w:r>
    </w:p>
    <w:p w14:paraId="6AECFB9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07DC84C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Овај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пословник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ступа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снагу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осмог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дана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по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објављивању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на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огласној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табли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BE6DDB">
        <w:rPr>
          <w:rFonts w:ascii="Tahoma" w:eastAsia="Times New Roman" w:hAnsi="Tahoma" w:cs="Tahoma"/>
          <w:color w:val="000000"/>
          <w:sz w:val="23"/>
          <w:szCs w:val="23"/>
        </w:rPr>
        <w:t>Школе</w:t>
      </w:r>
      <w:proofErr w:type="spellEnd"/>
      <w:r w:rsidRPr="00BE6DDB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479D4AB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464D73E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2465496E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192"/>
        <w:gridCol w:w="3636"/>
      </w:tblGrid>
      <w:tr w:rsidR="00BE6DDB" w:rsidRPr="00BE6DDB" w14:paraId="72E4B942" w14:textId="77777777" w:rsidTr="00BE6DD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EBDE0" w14:textId="77777777" w:rsidR="00BE6DDB" w:rsidRPr="00BE6DDB" w:rsidRDefault="00BE6DDB" w:rsidP="00BE6D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  <w:p w14:paraId="1C872E11" w14:textId="0D36872D" w:rsidR="00BE6DDB" w:rsidRPr="00BE6DDB" w:rsidRDefault="00BE6DDB" w:rsidP="00BE6D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val="sr-Cyrl-RS"/>
              </w:rPr>
              <w:t>Бачком Новом Селу</w:t>
            </w: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  <w:p w14:paraId="08FF070A" w14:textId="421DDA3E" w:rsidR="00BE6DDB" w:rsidRPr="00BE6DDB" w:rsidRDefault="00BE6DDB" w:rsidP="00BE6D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val="sr-Cyrl-RS"/>
              </w:rPr>
              <w:t>___________</w:t>
            </w: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године</w:t>
            </w:r>
            <w:proofErr w:type="spellEnd"/>
          </w:p>
          <w:p w14:paraId="3ABDBB56" w14:textId="79E70230" w:rsidR="00BE6DDB" w:rsidRPr="00BE6DDB" w:rsidRDefault="00BE6DDB" w:rsidP="00BE6D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Дел</w:t>
            </w:r>
            <w:proofErr w:type="spellEnd"/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бр</w:t>
            </w:r>
            <w:proofErr w:type="spellEnd"/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val="sr-Cyrl-RS"/>
              </w:rPr>
              <w:t>21</w:t>
            </w:r>
            <w:r w:rsidR="004B0084">
              <w:rPr>
                <w:rFonts w:ascii="Tahoma" w:eastAsia="Times New Roman" w:hAnsi="Tahoma" w:cs="Tahoma"/>
                <w:color w:val="000000"/>
                <w:sz w:val="23"/>
                <w:szCs w:val="23"/>
                <w:lang w:val="sr-Latn-RS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8AEA2" w14:textId="77777777" w:rsidR="00BE6DDB" w:rsidRPr="00BE6DDB" w:rsidRDefault="00BE6DDB" w:rsidP="00BE6D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02EE6" w14:textId="77777777" w:rsidR="00BE6DDB" w:rsidRPr="00BE6DDB" w:rsidRDefault="00BE6DDB" w:rsidP="00BE6D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Д и р е к т о р</w:t>
            </w:r>
          </w:p>
          <w:p w14:paraId="3F743AA5" w14:textId="77777777" w:rsidR="00BE6DDB" w:rsidRPr="00BE6DDB" w:rsidRDefault="00BE6DDB" w:rsidP="00BE6D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  <w:p w14:paraId="68FAA6FA" w14:textId="77777777" w:rsidR="00BE6DDB" w:rsidRPr="00BE6DDB" w:rsidRDefault="00BE6DDB" w:rsidP="00BE6D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____________________________</w:t>
            </w:r>
          </w:p>
        </w:tc>
      </w:tr>
    </w:tbl>
    <w:p w14:paraId="4BA3FD28" w14:textId="296B75C5" w:rsidR="00BE6DDB" w:rsidRPr="00BE6DDB" w:rsidRDefault="00BE6DDB" w:rsidP="00BE6DD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 xml:space="preserve">                                                                     </w:t>
      </w:r>
      <w:r>
        <w:rPr>
          <w:rFonts w:ascii="Tahoma" w:eastAsia="Times New Roman" w:hAnsi="Tahoma" w:cs="Tahoma"/>
          <w:color w:val="000000"/>
          <w:sz w:val="23"/>
          <w:szCs w:val="23"/>
          <w:lang w:val="sr-Cyrl-RS"/>
        </w:rPr>
        <w:t>Љиљана Нонковић</w:t>
      </w:r>
    </w:p>
    <w:p w14:paraId="6D33BBD3" w14:textId="77777777" w:rsidR="00BE6DDB" w:rsidRPr="00BE6DDB" w:rsidRDefault="00BE6DDB" w:rsidP="00B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974C0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09C0E78F" w14:textId="0F088A34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Пословник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је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објављен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на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огласној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табли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школе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sr-Cyrl-RS"/>
        </w:rPr>
        <w:t>_____________________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sr-Latn-RS"/>
        </w:rPr>
        <w:t xml:space="preserve"> </w:t>
      </w:r>
      <w:proofErr w:type="spellStart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године</w:t>
      </w:r>
      <w:proofErr w:type="spellEnd"/>
      <w:r w:rsidRPr="00BE6DD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.</w:t>
      </w:r>
    </w:p>
    <w:p w14:paraId="48800B87" w14:textId="77777777" w:rsidR="00BE6DDB" w:rsidRPr="00BE6DDB" w:rsidRDefault="00BE6DDB" w:rsidP="00BE6D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DB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E6E9894" w14:textId="77777777" w:rsidR="00C92CAC" w:rsidRDefault="00C92CAC"/>
    <w:sectPr w:rsidR="00C92CAC" w:rsidSect="00A068BE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DB"/>
    <w:rsid w:val="004B0084"/>
    <w:rsid w:val="00723967"/>
    <w:rsid w:val="00A068BE"/>
    <w:rsid w:val="00BE6DDB"/>
    <w:rsid w:val="00C92CAC"/>
    <w:rsid w:val="00D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8183"/>
  <w15:chartTrackingRefBased/>
  <w15:docId w15:val="{152AD7BA-FE3A-4816-864A-190C5A6D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8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kovacev</dc:creator>
  <cp:keywords/>
  <dc:description/>
  <cp:lastModifiedBy>isidora kovacev</cp:lastModifiedBy>
  <cp:revision>1</cp:revision>
  <cp:lastPrinted>2023-12-11T10:19:00Z</cp:lastPrinted>
  <dcterms:created xsi:type="dcterms:W3CDTF">2023-12-11T08:35:00Z</dcterms:created>
  <dcterms:modified xsi:type="dcterms:W3CDTF">2023-12-11T11:04:00Z</dcterms:modified>
</cp:coreProperties>
</file>